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E5" w:rsidRPr="00F366E5" w:rsidRDefault="00F366E5" w:rsidP="00F366E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F366E5">
        <w:rPr>
          <w:rFonts w:ascii="Arial" w:hAnsi="Arial" w:cs="Arial"/>
          <w:b/>
          <w:bCs/>
          <w:color w:val="202122"/>
          <w:sz w:val="28"/>
          <w:szCs w:val="28"/>
        </w:rPr>
        <w:t xml:space="preserve">Жүйелік </w:t>
      </w:r>
      <w:proofErr w:type="spellStart"/>
      <w:r w:rsidRPr="00F366E5">
        <w:rPr>
          <w:rFonts w:ascii="Arial" w:hAnsi="Arial" w:cs="Arial"/>
          <w:b/>
          <w:bCs/>
          <w:color w:val="202122"/>
          <w:sz w:val="28"/>
          <w:szCs w:val="28"/>
        </w:rPr>
        <w:t>талдау</w:t>
      </w:r>
      <w:proofErr w:type="spellEnd"/>
      <w:r w:rsidR="0067634D" w:rsidRPr="00F366E5">
        <w:rPr>
          <w:rFonts w:ascii="Arial" w:hAnsi="Arial" w:cs="Arial"/>
          <w:color w:val="202122"/>
          <w:sz w:val="28"/>
          <w:szCs w:val="28"/>
          <w:vertAlign w:val="superscript"/>
        </w:rPr>
        <w:fldChar w:fldCharType="begin"/>
      </w:r>
      <w:r w:rsidRPr="00F366E5">
        <w:rPr>
          <w:rFonts w:ascii="Arial" w:hAnsi="Arial" w:cs="Arial"/>
          <w:color w:val="202122"/>
          <w:sz w:val="28"/>
          <w:szCs w:val="28"/>
          <w:vertAlign w:val="superscript"/>
        </w:rPr>
        <w:instrText xml:space="preserve"> HYPERLINK "https://kk.wikipedia.org/wiki/%D0%96%D2%AF%D0%B9%D0%B5%D0%BB%D1%96%D0%BA_%D1%82%D0%B0%D0%BB%D0%B4%D0%B0%D1%83" \l "cite_note-1" </w:instrText>
      </w:r>
      <w:r w:rsidR="0067634D" w:rsidRPr="00F366E5">
        <w:rPr>
          <w:rFonts w:ascii="Arial" w:hAnsi="Arial" w:cs="Arial"/>
          <w:color w:val="202122"/>
          <w:sz w:val="28"/>
          <w:szCs w:val="28"/>
          <w:vertAlign w:val="superscript"/>
        </w:rPr>
        <w:fldChar w:fldCharType="separate"/>
      </w:r>
      <w:r w:rsidRPr="00F366E5">
        <w:rPr>
          <w:rStyle w:val="a4"/>
          <w:rFonts w:ascii="Arial" w:hAnsi="Arial" w:cs="Arial"/>
          <w:color w:val="0645AD"/>
          <w:sz w:val="28"/>
          <w:szCs w:val="28"/>
          <w:u w:val="none"/>
          <w:vertAlign w:val="superscript"/>
        </w:rPr>
        <w:t>[1]</w:t>
      </w:r>
      <w:r w:rsidR="0067634D" w:rsidRPr="00F366E5">
        <w:rPr>
          <w:rFonts w:ascii="Arial" w:hAnsi="Arial" w:cs="Arial"/>
          <w:color w:val="202122"/>
          <w:sz w:val="28"/>
          <w:szCs w:val="28"/>
          <w:vertAlign w:val="superscript"/>
        </w:rPr>
        <w:fldChar w:fldCharType="end"/>
      </w:r>
      <w:r w:rsidRPr="00F366E5">
        <w:rPr>
          <w:rFonts w:ascii="Arial" w:hAnsi="Arial" w:cs="Arial"/>
          <w:color w:val="202122"/>
          <w:sz w:val="28"/>
          <w:szCs w:val="28"/>
        </w:rPr>
        <w:t xml:space="preserve"> — жүйелік тәсілдің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негізінде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орындалатын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объектілерді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(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программаларды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, жүйелерді, құрылғыларды)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талдау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; жүйелік құралдармен атқарылатын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талдау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;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саяси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>, </w:t>
      </w:r>
      <w:hyperlink r:id="rId5" w:tooltip="Экономика" w:history="1">
        <w:r w:rsidRPr="00F366E5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экономикалық</w:t>
        </w:r>
      </w:hyperlink>
      <w:r w:rsidRPr="00F366E5">
        <w:rPr>
          <w:rFonts w:ascii="Arial" w:hAnsi="Arial" w:cs="Arial"/>
          <w:color w:val="202122"/>
          <w:sz w:val="28"/>
          <w:szCs w:val="28"/>
        </w:rPr>
        <w:t>, ғылыми жөне </w:t>
      </w:r>
      <w:hyperlink r:id="rId6" w:tooltip="Техника" w:history="1">
        <w:r w:rsidRPr="00F366E5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техникалық</w:t>
        </w:r>
      </w:hyperlink>
      <w:r w:rsidRPr="00F366E5">
        <w:rPr>
          <w:rFonts w:ascii="Arial" w:hAnsi="Arial" w:cs="Arial"/>
          <w:color w:val="202122"/>
          <w:sz w:val="28"/>
          <w:szCs w:val="28"/>
        </w:rPr>
        <w:t xml:space="preserve"> сипаттағы күрделі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проблемалар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бойынша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шешімдерді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gramStart"/>
      <w:r w:rsidRPr="00F366E5">
        <w:rPr>
          <w:rFonts w:ascii="Arial" w:hAnsi="Arial" w:cs="Arial"/>
          <w:color w:val="202122"/>
          <w:sz w:val="28"/>
          <w:szCs w:val="28"/>
        </w:rPr>
        <w:t>дайындау</w:t>
      </w:r>
      <w:proofErr w:type="gramEnd"/>
      <w:r w:rsidRPr="00F366E5">
        <w:rPr>
          <w:rFonts w:ascii="Arial" w:hAnsi="Arial" w:cs="Arial"/>
          <w:color w:val="202122"/>
          <w:sz w:val="28"/>
          <w:szCs w:val="28"/>
        </w:rPr>
        <w:t xml:space="preserve">ға жөне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негіздеуге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пайдаланылатын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әдіснамалық құралдар жиынтығы.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Ол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жүйелі тәсілге, сондай-ақ бі</w:t>
      </w:r>
      <w:proofErr w:type="gramStart"/>
      <w:r w:rsidRPr="00F366E5">
        <w:rPr>
          <w:rFonts w:ascii="Arial" w:hAnsi="Arial" w:cs="Arial"/>
          <w:color w:val="202122"/>
          <w:sz w:val="28"/>
          <w:szCs w:val="28"/>
        </w:rPr>
        <w:t>р</w:t>
      </w:r>
      <w:proofErr w:type="gramEnd"/>
      <w:r w:rsidRPr="00F366E5">
        <w:rPr>
          <w:rFonts w:ascii="Arial" w:hAnsi="Arial" w:cs="Arial"/>
          <w:color w:val="202122"/>
          <w:sz w:val="28"/>
          <w:szCs w:val="28"/>
        </w:rPr>
        <w:t>қатар </w:t>
      </w:r>
      <w:hyperlink r:id="rId7" w:tooltip="Математика" w:history="1">
        <w:r w:rsidRPr="00F366E5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математикалық</w:t>
        </w:r>
      </w:hyperlink>
      <w:r w:rsidRPr="00F366E5">
        <w:rPr>
          <w:rFonts w:ascii="Arial" w:hAnsi="Arial" w:cs="Arial"/>
          <w:color w:val="202122"/>
          <w:sz w:val="28"/>
          <w:szCs w:val="28"/>
        </w:rPr>
        <w:t xml:space="preserve"> мәндер мен қазіргі заманғы басқару әдістеріне де сүйенеді. Оның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негізгі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процедурасы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нақты жағдайдың өзара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байланысын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бейнелейтін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жалпыланған модель құру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болып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табылады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>.</w:t>
      </w:r>
      <w:hyperlink r:id="rId8" w:anchor="cite_note-2" w:history="1">
        <w:r w:rsidRPr="00F366E5">
          <w:rPr>
            <w:rStyle w:val="a4"/>
            <w:rFonts w:ascii="Arial" w:hAnsi="Arial" w:cs="Arial"/>
            <w:color w:val="0645AD"/>
            <w:sz w:val="28"/>
            <w:szCs w:val="28"/>
            <w:u w:val="none"/>
            <w:vertAlign w:val="superscript"/>
          </w:rPr>
          <w:t>[2]</w:t>
        </w:r>
      </w:hyperlink>
    </w:p>
    <w:p w:rsidR="00F366E5" w:rsidRDefault="00F366E5" w:rsidP="00F366E5">
      <w:pPr>
        <w:pStyle w:val="a3"/>
        <w:shd w:val="clear" w:color="auto" w:fill="FFFFFF"/>
        <w:spacing w:before="120" w:beforeAutospacing="0" w:after="120" w:afterAutospacing="0"/>
        <w:rPr>
          <w:lang w:val="kk-KZ"/>
        </w:rPr>
      </w:pP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Екінші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анықтама : </w:t>
      </w:r>
      <w:r w:rsidRPr="00F366E5">
        <w:rPr>
          <w:rFonts w:ascii="Arial" w:hAnsi="Arial" w:cs="Arial"/>
          <w:b/>
          <w:bCs/>
          <w:color w:val="202122"/>
          <w:sz w:val="28"/>
          <w:szCs w:val="28"/>
        </w:rPr>
        <w:t xml:space="preserve">жүйелік </w:t>
      </w:r>
      <w:proofErr w:type="spellStart"/>
      <w:r w:rsidRPr="00F366E5">
        <w:rPr>
          <w:rFonts w:ascii="Arial" w:hAnsi="Arial" w:cs="Arial"/>
          <w:b/>
          <w:bCs/>
          <w:color w:val="202122"/>
          <w:sz w:val="28"/>
          <w:szCs w:val="28"/>
        </w:rPr>
        <w:t>талдау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 - жүйелеудің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жалпы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теориялық әдісі. Бұл әді</w:t>
      </w:r>
      <w:proofErr w:type="gramStart"/>
      <w:r w:rsidRPr="00F366E5">
        <w:rPr>
          <w:rFonts w:ascii="Arial" w:hAnsi="Arial" w:cs="Arial"/>
          <w:color w:val="202122"/>
          <w:sz w:val="28"/>
          <w:szCs w:val="28"/>
        </w:rPr>
        <w:t>ст</w:t>
      </w:r>
      <w:proofErr w:type="gramEnd"/>
      <w:r w:rsidRPr="00F366E5">
        <w:rPr>
          <w:rFonts w:ascii="Arial" w:hAnsi="Arial" w:cs="Arial"/>
          <w:color w:val="202122"/>
          <w:sz w:val="28"/>
          <w:szCs w:val="28"/>
        </w:rPr>
        <w:t xml:space="preserve">ің өзіне тән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ерекшелігі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—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зерттеу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нысанын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белгілі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бір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жүйе құрамында қарап, оның бүкіл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байланыстарын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ескере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отырып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366E5">
        <w:rPr>
          <w:rFonts w:ascii="Arial" w:hAnsi="Arial" w:cs="Arial"/>
          <w:color w:val="202122"/>
          <w:sz w:val="28"/>
          <w:szCs w:val="28"/>
        </w:rPr>
        <w:t>саралау</w:t>
      </w:r>
      <w:proofErr w:type="spellEnd"/>
      <w:r w:rsidRPr="00F366E5">
        <w:rPr>
          <w:rFonts w:ascii="Arial" w:hAnsi="Arial" w:cs="Arial"/>
          <w:color w:val="202122"/>
          <w:sz w:val="28"/>
          <w:szCs w:val="28"/>
        </w:rPr>
        <w:t xml:space="preserve"> қажеттілігі.</w:t>
      </w:r>
      <w:hyperlink r:id="rId9" w:anchor="cite_note-3" w:history="1">
        <w:r w:rsidRPr="00F366E5">
          <w:rPr>
            <w:rStyle w:val="a4"/>
            <w:rFonts w:ascii="Arial" w:hAnsi="Arial" w:cs="Arial"/>
            <w:color w:val="0645AD"/>
            <w:sz w:val="28"/>
            <w:szCs w:val="28"/>
            <w:u w:val="none"/>
            <w:vertAlign w:val="superscript"/>
          </w:rPr>
          <w:t>[3]</w:t>
        </w:r>
      </w:hyperlink>
    </w:p>
    <w:p w:rsidR="003348AA" w:rsidRPr="003348AA" w:rsidRDefault="003348AA" w:rsidP="003348AA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ru-RU"/>
        </w:rPr>
      </w:pPr>
      <w:r w:rsidRPr="003348AA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ru-RU"/>
        </w:rPr>
        <w:t>ӘДІ</w:t>
      </w:r>
      <w:proofErr w:type="gramStart"/>
      <w:r w:rsidRPr="003348AA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ru-RU"/>
        </w:rPr>
        <w:t>СТ</w:t>
      </w:r>
      <w:proofErr w:type="gramEnd"/>
      <w:r w:rsidRPr="003348AA">
        <w:rPr>
          <w:rFonts w:ascii="Arial" w:eastAsia="Times New Roman" w:hAnsi="Arial" w:cs="Arial"/>
          <w:b/>
          <w:bCs/>
          <w:caps/>
          <w:color w:val="222222"/>
          <w:sz w:val="38"/>
          <w:szCs w:val="38"/>
          <w:lang w:eastAsia="ru-RU"/>
        </w:rPr>
        <w:t>ІҢ АНЫҚТАМАСЫ ЖӘНЕ ОНЫҢ ЕРЕКШЕЛІКТЕРІ</w:t>
      </w:r>
    </w:p>
    <w:p w:rsidR="003348AA" w:rsidRPr="003348AA" w:rsidRDefault="003348AA" w:rsidP="00F366E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</w:p>
    <w:p w:rsidR="00F366E5" w:rsidRDefault="00F366E5" w:rsidP="00F366E5">
      <w:pPr>
        <w:pStyle w:val="a3"/>
        <w:shd w:val="clear" w:color="auto" w:fill="FFFFFF"/>
        <w:spacing w:before="160" w:beforeAutospacing="0" w:after="240" w:afterAutospacing="0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Жүйелік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талдау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қоршаған шындықты және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онда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болып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жатқан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процестерді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ғылыми танудың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негізгі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әдістерінің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бі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р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>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болып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табылады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Ол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бі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р</w:t>
      </w:r>
      <w:proofErr w:type="spellEnd"/>
      <w:proofErr w:type="gramEnd"/>
      <w:r>
        <w:rPr>
          <w:rFonts w:ascii="Helvetica" w:hAnsi="Helvetica" w:cs="Helvetica"/>
          <w:color w:val="666666"/>
          <w:sz w:val="27"/>
          <w:szCs w:val="27"/>
        </w:rPr>
        <w:t xml:space="preserve"> жүйенің тұрақты (тұрақты) және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айнымалы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(сыртқы факторларға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байланысты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өзгеретін)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элементтері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арасында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құрылымдық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байланыстарды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орнатуға әкелетін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белгілі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бір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әрекеттер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тізбегін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қолдануды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білдіреді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.</w:t>
      </w:r>
    </w:p>
    <w:p w:rsidR="00F366E5" w:rsidRPr="00F366E5" w:rsidRDefault="00F366E5" w:rsidP="00F366E5">
      <w:pPr>
        <w:shd w:val="clear" w:color="auto" w:fill="FFFFFF"/>
        <w:spacing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жүйені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дәлелді ғылымның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әдістері қолданылады:</w:t>
      </w:r>
    </w:p>
    <w:p w:rsidR="00F366E5" w:rsidRPr="00F366E5" w:rsidRDefault="00F366E5" w:rsidP="00F366E5">
      <w:pPr>
        <w:numPr>
          <w:ilvl w:val="0"/>
          <w:numId w:val="1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эксперименттік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;</w:t>
      </w:r>
    </w:p>
    <w:p w:rsidR="00F366E5" w:rsidRPr="00F366E5" w:rsidRDefault="00F366E5" w:rsidP="00F366E5">
      <w:pPr>
        <w:numPr>
          <w:ilvl w:val="0"/>
          <w:numId w:val="1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статистикалық;</w:t>
      </w:r>
    </w:p>
    <w:p w:rsidR="00F366E5" w:rsidRPr="00F366E5" w:rsidRDefault="00F366E5" w:rsidP="00F366E5">
      <w:pPr>
        <w:numPr>
          <w:ilvl w:val="0"/>
          <w:numId w:val="1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математикалық;</w:t>
      </w:r>
    </w:p>
    <w:p w:rsidR="00F366E5" w:rsidRPr="00F366E5" w:rsidRDefault="00F366E5" w:rsidP="00F366E5">
      <w:pPr>
        <w:numPr>
          <w:ilvl w:val="0"/>
          <w:numId w:val="1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жаратылыстану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ғылымдары.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Бұл әді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ің сұранысы мен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жетістігі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негізінен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технологияның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заманауи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дамуымен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ақталады, өйткені. жүйелік талдаудың өзі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компьютерлік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технологияның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белсенді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дамуы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кезеңінде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Кейбі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дереккөздер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тіпті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терминнің анықтамасын таза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есептеу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талдауына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дейін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азайтады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lastRenderedPageBreak/>
        <w:t xml:space="preserve">Болашақта осы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технологияны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қолдану арқылы алынған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әліметтер әртүрлі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салалар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мен аймақтарды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дамыту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концепциясын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басқару мен құруда қолданылады.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Жүйелік талдаудың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мақсаты – болашақ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дамуды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модельдеуді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қамтамасыз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мәселелерді шешудің әртүрлі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жолдарын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таң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дау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ға мүмкіндік беру. Маңызды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ерекшелігі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- тапсырманың құрылымы мен оның күрделілігі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шешімді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іздеудің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одан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 бағытын анықтайды.</w:t>
      </w:r>
    </w:p>
    <w:p w:rsidR="00F366E5" w:rsidRPr="00F366E5" w:rsidRDefault="00F366E5" w:rsidP="00F366E5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</w:pPr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ЖҮЙЕЛІК ТАЛДАУДАҒ</w:t>
      </w:r>
      <w:proofErr w:type="gramStart"/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Ы</w:t>
      </w:r>
      <w:proofErr w:type="gramEnd"/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 xml:space="preserve"> ЕСЕПТЕРДІҢ 3 ТҮРІ</w:t>
      </w:r>
    </w:p>
    <w:p w:rsidR="00F366E5" w:rsidRPr="00F366E5" w:rsidRDefault="00F366E5" w:rsidP="00F366E5">
      <w:pPr>
        <w:numPr>
          <w:ilvl w:val="0"/>
          <w:numId w:val="2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Сапалық құрылымы бар (жақсы құрылымдалған) алдыңғы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зерттеулерден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алынған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жүйенің өзінің ашықтығы мен түсініктілігіне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байланысты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сандық және сапалық тұжырымдалған заңдылықтары бар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тапсырмалар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 Қалай болғанда да, бұ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л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арасындағы тәуелділіктер өте жақсы және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егжей-тегжейлі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нақтыланған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тапсырмалар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2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Әлсіз құрылымдалған (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аралас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) —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(сапалық және сандық жағынан анықталған)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элементтері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де,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белгісіз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құрамдастары да, процестердің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факторлары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аспектілері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де бар,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уақытта бүкіл жүйеге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елеулі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(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басым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) әсер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міндеттер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2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Құрылымсыз — бұ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л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сандық және сапалық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сипаттамасы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жоқ, тек сипаттамалық сипаттағы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сипаттамалар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олардың арасындағы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байланыс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сенімді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деңгейде орнатылмаған мәселелер. Бұл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қу үшін ең қиын және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сонымен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қызықты категория.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деңгейдегі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міндеттерді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шешу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әдістемелі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 ж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жалпы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ғылыми принциптердің үйлесімі қолданылады.</w:t>
      </w:r>
    </w:p>
    <w:p w:rsidR="00F366E5" w:rsidRPr="00F366E5" w:rsidRDefault="00F366E5" w:rsidP="00F366E5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</w:pPr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ӘДІ</w:t>
      </w:r>
      <w:proofErr w:type="gramStart"/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СТ</w:t>
      </w:r>
      <w:proofErr w:type="gramEnd"/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ІҢ НЕГІЗГІ ПРИНЦИПТЕРІ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математикалық өңдеу әдісі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принциптерге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құрылған.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үйені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келесіге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: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Түпкілікті мақсат —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зерттелетін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бүкі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л ж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үйенің қасиеттерін, сондай-ақ сапа мен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бағалау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критерийлерін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анықтай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отырып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, бүкіл зерттеудің мақсатын бастапқы тұжырымдауды қамтиды.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Өлшемдер —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зерттелетін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аумақтың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параметрлерін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бүкіл сыртқы шындықтың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параметрлерімен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салыстыру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мүмкіндігін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білдіреді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Анау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ешбі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жүйені және оның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элементтерін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бүкіл дүниедегі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болмыстан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бөлек ешқашан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болмайды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бағалау нәтижелері супержүйені, яғни қоршаған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ортаны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ескере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отырып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жүргізілуі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керек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Бірлік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— жүйенің барлық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элементтері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біртұтас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ретінде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қарастырылады, әрбі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бөлек қарастырғанның өзінде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бір-біріне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әсер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Қары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м-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қатынастар өзара әрекеттесуді зерттеудің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принциптерінің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болып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табылады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мұнда әрбір элемент жүйенің өзінде қарастырылады және оның басқа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компоненттермен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байланысы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олардың өзара ықпалы,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сонымен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қатар супержүйемен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байланысы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тұрғысынан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зерттеледі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Тепе-теңдік — жүйенің потенциалдық мүмкіндіктерін, яғни бастапқы жағдайлары мен даму жолдарындағы айырмашылықты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есепке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алмай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, оның өзіне ғ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ана т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ән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ерекшеліктерімен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ғана қол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жеткізетін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сипаттамаларын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анықтау.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Иерархиялар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— жүйенің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элементтерін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саралау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ол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түптеп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оның құрылымдалуына және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реттелуіне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ықпал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сонымен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қатар барлық үлгілерді қ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арастыру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ға мүмкіндік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береді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3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Модульдік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құрылыс — функционалдық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модульдерді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соның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ішінде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бірнеше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элементтердің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комбинацияларын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бөлуді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ред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соның арқасында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шамадан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тыс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егжей-тегжейлерді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болдырмауға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ал жүйенің өзін оның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жеке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элементтерінің өзара әрекеттесуі мен әсері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ретінде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ғана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емес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сонымен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оның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жалпы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бөліктерінің де әсері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ретінде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қарастыруға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Жүйелік талдау әдісінің принциптері және оны қолдану әдіс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үйелік талдау әдісінің принциптері және оны қолдану әдістер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Бұ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л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принциптердің барлығы дамудың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жалпы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принципіне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бағынады, яғни жүйенің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максималды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мүмкіндіктерін, оның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бейімделу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даму мүмкіндіктерін,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сонымен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қатар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жетілдіру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мүмкіндіктерін анықтау.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супержүйе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кездейсоқ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факторлар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енгізе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алатын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белгісіздікті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ескеруді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білдіреді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Белгісізді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айма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қтарын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факторларын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ерте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анықтау жағдайдың күтілетін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дамуын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есептеу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тәуекел үлесін бағалауға көмектеседі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зиянды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әсерлерді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болдырмайтын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жаңа жүйені құруға мүмкіндік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береді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</w:pPr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ҚОЛДАНЫЛАТЫН ШЕШУ ӘДІСТЕРІ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Әртүрлі ғылыми әдістер мен әдістемелердің үйлесімін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пайдаланатын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кең әді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білдіретін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құбылыстың барлық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тенденцияларын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мүмкіндігінше көрсететін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адекватты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математикалық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модельді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құруға ұмтылады. Бұл болашақта жаңа контексте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құбылыстарды басқарудың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алдыңғы жағдайларда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дамуды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болжаудың ең оңтайлы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стратегиясын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табу үшін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жасалады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Математикалық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негіздеу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сызықтық, сызықтық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емес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динамикалық бағдарламалаудың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келесі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логикалық модельдерінің 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інің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бірнеше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факторларының арасындағы заңдылықты түсіндіруге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тырысады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үйелік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келесі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әдістер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топтарын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қолдануды қамтиды:</w:t>
      </w:r>
    </w:p>
    <w:p w:rsidR="00F366E5" w:rsidRPr="00F366E5" w:rsidRDefault="00F366E5" w:rsidP="00F366E5">
      <w:pPr>
        <w:numPr>
          <w:ilvl w:val="0"/>
          <w:numId w:val="4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Аналитикалық. Кө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өлшемді қатынастарды сипаттаудың классикалық математикалық әдістері.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айнымалылардың қасиеттері мен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параметрлері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алдын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ала анықталған және олардың арасындағы байланыстың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тапсырмалар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қолданылады. Әйтпесе, жүйенің сәйкестік дәрежесін және оның толық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сипаттамасын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қамтамасыз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қосымша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қажет.</w:t>
      </w:r>
    </w:p>
    <w:p w:rsidR="00F366E5" w:rsidRPr="00F366E5" w:rsidRDefault="00F366E5" w:rsidP="00F366E5">
      <w:pPr>
        <w:numPr>
          <w:ilvl w:val="0"/>
          <w:numId w:val="4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Статистикалық. Бұл әдістер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категориясы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өзі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н-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өзі басқаратын және өзін-өзі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дамытатын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детерминирленген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емес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жүйелермен жұмыс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істеу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қолданылады.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Ы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қтималдық және статистикалық заңдылықтарды анықтау қажет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сипаттамалық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процестер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мен оқиғалар үшін ең қолайлы.</w:t>
      </w:r>
    </w:p>
    <w:p w:rsidR="00F366E5" w:rsidRPr="00F366E5" w:rsidRDefault="00F366E5" w:rsidP="00F366E5">
      <w:pPr>
        <w:numPr>
          <w:ilvl w:val="0"/>
          <w:numId w:val="4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Теориялық жиынтық.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жүйені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пәннің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ғылыми саланың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контекстінде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 болмаған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кезде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қолданылады. Бұл көптеген сызықтық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емес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факторлардың әсерін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есепке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алу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бағдарламалау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тілдерін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жетілдіруді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талап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ететі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күрделі жүйелермен жұмыс.</w:t>
      </w:r>
    </w:p>
    <w:p w:rsidR="00F366E5" w:rsidRPr="00F366E5" w:rsidRDefault="00F366E5" w:rsidP="00F366E5">
      <w:pPr>
        <w:numPr>
          <w:ilvl w:val="0"/>
          <w:numId w:val="4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Ой қ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оз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ғау.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Олар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математикалық логика заңдарына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негізделген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жүйенің жеңілдетілген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сипаттамасын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ред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тұрақты құрылымдарды құру үшін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пайдалы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бірақ көптеген қосымша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факторларды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есепке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алмайды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4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Лингвистикалық, семиотикалық және графикалық. Олардың арқасында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ңа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тілдер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таңбалар,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графиктер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белгілер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жасалады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Бұл бұрын алынған мәліметтерді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ресімдеуге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мүмкінді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беретін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құрал.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Кейбі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міндеттерді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шешу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үшін бағыттардың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біреуін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ғана қолдануға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ал ұзақ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мерзімді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зерттеулер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күрделі жүйені түсіну әрекеттері әртүрлі кезеңдердегі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деректерді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талдаудың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бірнеше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әдістерін қолдануды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талап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етуі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мүмкін.</w:t>
      </w:r>
    </w:p>
    <w:p w:rsidR="00F366E5" w:rsidRPr="00F366E5" w:rsidRDefault="00F366E5" w:rsidP="00F366E5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</w:pPr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ҚОЛДАНУ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Жүйелік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қолдану мүлдем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бас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 ғылыми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салаларда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мүмкін, сондықтан осы статистикалық әдіс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пайдалы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болатын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негізгі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жағдайларды анықтаған дұрыс:</w:t>
      </w:r>
    </w:p>
    <w:p w:rsidR="00F366E5" w:rsidRPr="00F366E5" w:rsidRDefault="00F366E5" w:rsidP="00F366E5">
      <w:pPr>
        <w:numPr>
          <w:ilvl w:val="0"/>
          <w:numId w:val="5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Мә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селе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туралы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мәлімдеме (оны анықтау,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болуы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). Бұл әрекет бүкіл жүйенің жұмысын жақсарту мақсатында мәселені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шешуге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бағытталуы мүмкін.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жолының өзі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проблемаларды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іздеудегі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бастапқы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диагноздан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табылған қарам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а-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қайшылықтарды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кемшіліктерді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шешудің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тиімді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стратегияларын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әзірлеуге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дейін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болады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numPr>
          <w:ilvl w:val="0"/>
          <w:numId w:val="5"/>
        </w:numPr>
        <w:shd w:val="clear" w:color="auto" w:fill="FFFFFF"/>
        <w:spacing w:after="0" w:line="416" w:lineRule="atLeast"/>
        <w:ind w:left="240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Зерттелетін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жүйелік қатынастардан </w:t>
      </w:r>
      <w:proofErr w:type="spellStart"/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тыс</w:t>
      </w:r>
      <w:proofErr w:type="spellEnd"/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жаңа мүмкіндіктердің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пайда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болуы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Бұл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жол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стандартты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емес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түрлендіруді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немесе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бар мәселелерді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шешу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жолдарын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талап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еткенде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өзекті бола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бастайды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, яғни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факторларды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іздеу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р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қашан әдеттегі аумақтан шығып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кетеді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Бұл тәсілдер жаңа қары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м-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қатынастарды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іздеуге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проблемалық аймақты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дейін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қысқарады, бірақ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бірінші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нұсқада классикалық тәсіл қолданылады, ал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екіншісі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баламалы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даму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жолдарын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талап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етеді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.</w:t>
      </w:r>
    </w:p>
    <w:p w:rsidR="00F366E5" w:rsidRPr="00F366E5" w:rsidRDefault="00F366E5" w:rsidP="00F366E5">
      <w:pPr>
        <w:pBdr>
          <w:bottom w:val="single" w:sz="6" w:space="4" w:color="auto"/>
        </w:pBdr>
        <w:shd w:val="clear" w:color="auto" w:fill="FFFFFF"/>
        <w:spacing w:before="300" w:after="150" w:line="320" w:lineRule="atLeast"/>
        <w:outlineLvl w:val="1"/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</w:pPr>
      <w:r w:rsidRPr="00F366E5">
        <w:rPr>
          <w:rFonts w:ascii="Arial" w:eastAsia="Times New Roman" w:hAnsi="Arial" w:cs="Arial"/>
          <w:b/>
          <w:bCs/>
          <w:caps/>
          <w:color w:val="222222"/>
          <w:sz w:val="43"/>
          <w:szCs w:val="43"/>
          <w:lang w:eastAsia="ru-RU"/>
        </w:rPr>
        <w:t>ҚОРЫТЫНДЫ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Бүгін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біз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жүйелік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талдау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әдісінің не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екенін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білдік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Келесі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мақалаларда бар шындықты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мен сипаттаудың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бас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зерттеу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әдістері қарастырылады. Біздің жаң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артуларымыз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ға жазылыңыз және басқа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блог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оқиғалары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туралы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хабардар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болыңыз!</w:t>
      </w:r>
    </w:p>
    <w:p w:rsidR="00F366E5" w:rsidRPr="00F366E5" w:rsidRDefault="00F366E5" w:rsidP="00F366E5">
      <w:pPr>
        <w:shd w:val="clear" w:color="auto" w:fill="FFFFFF"/>
        <w:spacing w:before="160" w:after="240" w:line="416" w:lineRule="atLeast"/>
        <w:rPr>
          <w:rFonts w:ascii="Helvetica" w:hAnsi="Helvetica" w:cs="Helvetica"/>
          <w:color w:val="666666"/>
          <w:sz w:val="27"/>
          <w:szCs w:val="27"/>
          <w:lang w:val="kk-KZ"/>
        </w:rPr>
      </w:pP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Сізге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нағыз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амбидекстер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болуға көмектесетін әдістер бар мақаланы </w:t>
      </w:r>
      <w:proofErr w:type="gram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о</w:t>
      </w:r>
      <w:proofErr w:type="gram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қуды ұсынамыз.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Анау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. бұл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сол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және оң қолды </w:t>
      </w:r>
      <w:proofErr w:type="spellStart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>бірдей</w:t>
      </w:r>
      <w:proofErr w:type="spellEnd"/>
      <w:r w:rsidRPr="00F366E5"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666666"/>
          <w:sz w:val="27"/>
          <w:szCs w:val="27"/>
          <w:lang w:val="kk-KZ" w:eastAsia="ru-RU"/>
        </w:rPr>
        <w:t>басқару мүмкіндігі</w:t>
      </w:r>
    </w:p>
    <w:p w:rsidR="00B932BA" w:rsidRPr="00F366E5" w:rsidRDefault="003348AA">
      <w:pPr>
        <w:rPr>
          <w:sz w:val="28"/>
          <w:szCs w:val="28"/>
        </w:rPr>
      </w:pPr>
    </w:p>
    <w:sectPr w:rsidR="00B932BA" w:rsidRPr="00F366E5" w:rsidSect="0018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692"/>
    <w:multiLevelType w:val="multilevel"/>
    <w:tmpl w:val="DAD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0DA7"/>
    <w:multiLevelType w:val="multilevel"/>
    <w:tmpl w:val="F12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6265E"/>
    <w:multiLevelType w:val="multilevel"/>
    <w:tmpl w:val="520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20854"/>
    <w:multiLevelType w:val="multilevel"/>
    <w:tmpl w:val="5906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26CBA"/>
    <w:multiLevelType w:val="multilevel"/>
    <w:tmpl w:val="CA0A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9432AA"/>
    <w:multiLevelType w:val="multilevel"/>
    <w:tmpl w:val="2D9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DE7C32"/>
    <w:multiLevelType w:val="multilevel"/>
    <w:tmpl w:val="E16E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6E5"/>
    <w:rsid w:val="00122F19"/>
    <w:rsid w:val="00182D3F"/>
    <w:rsid w:val="003348AA"/>
    <w:rsid w:val="0067634D"/>
    <w:rsid w:val="00CD6DB5"/>
    <w:rsid w:val="00F3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3F"/>
  </w:style>
  <w:style w:type="paragraph" w:styleId="2">
    <w:name w:val="heading 2"/>
    <w:basedOn w:val="a"/>
    <w:link w:val="20"/>
    <w:uiPriority w:val="9"/>
    <w:qFormat/>
    <w:rsid w:val="00F36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66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6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ghead">
    <w:name w:val="mghead"/>
    <w:basedOn w:val="a0"/>
    <w:rsid w:val="00F366E5"/>
  </w:style>
  <w:style w:type="character" w:styleId="a5">
    <w:name w:val="FollowedHyperlink"/>
    <w:basedOn w:val="a0"/>
    <w:uiPriority w:val="99"/>
    <w:semiHidden/>
    <w:unhideWhenUsed/>
    <w:rsid w:val="00F366E5"/>
    <w:rPr>
      <w:color w:val="800080"/>
      <w:u w:val="single"/>
    </w:rPr>
  </w:style>
  <w:style w:type="character" w:customStyle="1" w:styleId="entry-byline-label">
    <w:name w:val="entry-byline-label"/>
    <w:basedOn w:val="a0"/>
    <w:rsid w:val="00F366E5"/>
  </w:style>
  <w:style w:type="character" w:customStyle="1" w:styleId="entry-author">
    <w:name w:val="entry-author"/>
    <w:basedOn w:val="a0"/>
    <w:rsid w:val="00F366E5"/>
  </w:style>
  <w:style w:type="character" w:customStyle="1" w:styleId="entry-publisher">
    <w:name w:val="entry-publisher"/>
    <w:basedOn w:val="a0"/>
    <w:rsid w:val="00F366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66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66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gt-block">
    <w:name w:val="gt-block"/>
    <w:basedOn w:val="a"/>
    <w:rsid w:val="00F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F366E5"/>
  </w:style>
  <w:style w:type="paragraph" w:customStyle="1" w:styleId="comment-form-author">
    <w:name w:val="comment-form-author"/>
    <w:basedOn w:val="a"/>
    <w:rsid w:val="00F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66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66E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btn">
    <w:name w:val="closebtn"/>
    <w:basedOn w:val="a0"/>
    <w:rsid w:val="00F366E5"/>
  </w:style>
  <w:style w:type="paragraph" w:styleId="a6">
    <w:name w:val="Balloon Text"/>
    <w:basedOn w:val="a"/>
    <w:link w:val="a7"/>
    <w:uiPriority w:val="99"/>
    <w:semiHidden/>
    <w:unhideWhenUsed/>
    <w:rsid w:val="00F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14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66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300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570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650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6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903021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07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51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965037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07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10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05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5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83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520632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0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30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8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197734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6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31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1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9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431670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8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06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7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77781">
                                                              <w:marLeft w:val="61"/>
                                                              <w:marRight w:val="61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7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8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3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96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4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6362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7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7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0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495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806">
                          <w:marLeft w:val="225"/>
                          <w:marRight w:val="22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547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17515">
                          <w:marLeft w:val="225"/>
                          <w:marRight w:val="22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67805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75054">
                          <w:marLeft w:val="225"/>
                          <w:marRight w:val="22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10414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2566">
                          <w:marLeft w:val="225"/>
                          <w:marRight w:val="22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756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50295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4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3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26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719547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0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23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30256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965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605812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7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426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940659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03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10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8230">
                                      <w:marLeft w:val="30"/>
                                      <w:marRight w:val="3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83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464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6%D2%AF%D0%B9%D0%B5%D0%BB%D1%96%D0%BA_%D1%82%D0%B0%D0%BB%D0%B4%D0%B0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C%D0%B0%D1%82%D0%B5%D0%BC%D0%B0%D1%82%D0%B8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2%D0%B5%D1%85%D0%BD%D0%B8%D0%BA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0%AD%D0%BA%D0%BE%D0%BD%D0%BE%D0%BC%D0%B8%D0%BA%D0%B0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6%D2%AF%D0%B9%D0%B5%D0%BB%D1%96%D0%BA_%D1%82%D0%B0%D0%BB%D0%B4%D0%B0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1399</Words>
  <Characters>7980</Characters>
  <Application>Microsoft Office Word</Application>
  <DocSecurity>0</DocSecurity>
  <Lines>66</Lines>
  <Paragraphs>18</Paragraphs>
  <ScaleCrop>false</ScaleCrop>
  <Company>Microsoft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2023-02-14T05:34:00Z</dcterms:created>
  <dcterms:modified xsi:type="dcterms:W3CDTF">2023-02-14T05:45:00Z</dcterms:modified>
</cp:coreProperties>
</file>